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3922" w14:textId="6A58D043" w:rsidR="00FF3301" w:rsidRPr="00A83F52" w:rsidRDefault="00A83F52" w:rsidP="00A83F52">
      <w:pPr>
        <w:pStyle w:val="NormalWeb"/>
        <w:jc w:val="center"/>
        <w:rPr>
          <w:rFonts w:ascii="ArialNarrow" w:hAnsi="ArialNarrow"/>
          <w:b/>
          <w:bCs/>
          <w:sz w:val="28"/>
          <w:szCs w:val="28"/>
        </w:rPr>
      </w:pPr>
      <w:r>
        <w:rPr>
          <w:rFonts w:ascii="ArialNarrow" w:hAnsi="ArialNarrow"/>
          <w:b/>
          <w:bCs/>
          <w:sz w:val="28"/>
          <w:szCs w:val="28"/>
        </w:rPr>
        <w:t>@</w:t>
      </w:r>
      <w:proofErr w:type="gramStart"/>
      <w:r>
        <w:rPr>
          <w:rFonts w:ascii="ArialNarrow" w:hAnsi="ArialNarrow"/>
          <w:b/>
          <w:bCs/>
          <w:sz w:val="28"/>
          <w:szCs w:val="28"/>
        </w:rPr>
        <w:t>theland  |</w:t>
      </w:r>
      <w:proofErr w:type="gramEnd"/>
      <w:r>
        <w:rPr>
          <w:rFonts w:ascii="ArialNarrow" w:hAnsi="ArialNarrow"/>
          <w:b/>
          <w:bCs/>
          <w:sz w:val="28"/>
          <w:szCs w:val="28"/>
        </w:rPr>
        <w:t xml:space="preserve">  RIDDOR policy</w:t>
      </w:r>
    </w:p>
    <w:p w14:paraId="59C0BB7F" w14:textId="65E9F416" w:rsidR="002278BE" w:rsidRDefault="008F0151">
      <w:r w:rsidRPr="008F0151">
        <w:t>As a company we recognise our responsibilities under RIDDOR (Reporting of Injuries, Diseases, and Dangerous Occurrences Regulations 2013), to report deaths, injuries, work</w:t>
      </w:r>
      <w:r w:rsidR="00CE74B2">
        <w:t xml:space="preserve"> </w:t>
      </w:r>
      <w:r w:rsidRPr="008F0151">
        <w:t xml:space="preserve">related diseases, and dangerous occurrences (where something happens that does not result in an injury but could have done). </w:t>
      </w:r>
    </w:p>
    <w:p w14:paraId="1A18191E" w14:textId="77777777" w:rsidR="009D46BB" w:rsidRDefault="008F0151">
      <w:r w:rsidRPr="008F0151">
        <w:t xml:space="preserve">This policy is further supported by the following policies: </w:t>
      </w:r>
    </w:p>
    <w:p w14:paraId="6D4F1239" w14:textId="77777777" w:rsidR="009D46BB" w:rsidRDefault="008F0151">
      <w:r w:rsidRPr="008F0151">
        <w:t xml:space="preserve">• COSHH </w:t>
      </w:r>
    </w:p>
    <w:p w14:paraId="456DE55C" w14:textId="77777777" w:rsidR="009D46BB" w:rsidRDefault="008F0151">
      <w:r w:rsidRPr="008F0151">
        <w:t xml:space="preserve">• Health and Safety </w:t>
      </w:r>
    </w:p>
    <w:p w14:paraId="56E8BBE7" w14:textId="77777777" w:rsidR="009D46BB" w:rsidRDefault="008F0151">
      <w:r w:rsidRPr="008F0151">
        <w:t xml:space="preserve">• Risk Assessments </w:t>
      </w:r>
    </w:p>
    <w:p w14:paraId="79091CEE" w14:textId="77777777" w:rsidR="00796EF1" w:rsidRDefault="008F0151">
      <w:r w:rsidRPr="008F0151">
        <w:t xml:space="preserve">This policy covers all current employees, full-time and part-time. Including permanent and temporary workers, contractors, subcontractors, </w:t>
      </w:r>
      <w:r w:rsidR="009D46BB">
        <w:t>pupils</w:t>
      </w:r>
      <w:r w:rsidR="00796EF1">
        <w:t xml:space="preserve">, visitors </w:t>
      </w:r>
      <w:r w:rsidRPr="008F0151">
        <w:t xml:space="preserve">and volunteers. </w:t>
      </w:r>
    </w:p>
    <w:p w14:paraId="5BEB7D9B" w14:textId="77777777" w:rsidR="00796EF1" w:rsidRPr="00135972" w:rsidRDefault="008F0151">
      <w:pPr>
        <w:rPr>
          <w:u w:val="single"/>
        </w:rPr>
      </w:pPr>
      <w:r w:rsidRPr="00135972">
        <w:rPr>
          <w:u w:val="single"/>
        </w:rPr>
        <w:t xml:space="preserve">Policy Details </w:t>
      </w:r>
    </w:p>
    <w:p w14:paraId="1DFD5957" w14:textId="77777777" w:rsidR="00796EF1" w:rsidRDefault="008F0151">
      <w:r w:rsidRPr="008F0151">
        <w:t xml:space="preserve">It is our policy to ensure that, in the instance of an injury, disease, or dangerous occurrence, the event will be reported without delay- or as soon as reasonably possible after the event. Reports will be made by informing the Health and Safety Executive Incident Contact Centre on 0345 300 99 23. Examples of specified injury are: </w:t>
      </w:r>
    </w:p>
    <w:p w14:paraId="43A17B18" w14:textId="77777777" w:rsidR="00796EF1" w:rsidRDefault="008F0151">
      <w:r w:rsidRPr="008F0151">
        <w:t xml:space="preserve">• Fractures (other than to fingers, thumbs, and </w:t>
      </w:r>
      <w:proofErr w:type="gramStart"/>
      <w:r w:rsidRPr="008F0151">
        <w:t>toes)Amputations</w:t>
      </w:r>
      <w:proofErr w:type="gramEnd"/>
      <w:r w:rsidRPr="008F0151">
        <w:t xml:space="preserve"> </w:t>
      </w:r>
    </w:p>
    <w:p w14:paraId="76A907BD" w14:textId="77777777" w:rsidR="00796EF1" w:rsidRDefault="008F0151">
      <w:r w:rsidRPr="008F0151">
        <w:t xml:space="preserve">• Any injury likely to lead to permanent loss of sight or reduction in sight </w:t>
      </w:r>
    </w:p>
    <w:p w14:paraId="4A8BAA08" w14:textId="77777777" w:rsidR="00796EF1" w:rsidRDefault="008F0151">
      <w:r w:rsidRPr="008F0151">
        <w:t xml:space="preserve">• Any crush injury to the head or torso causing damage to the brain or internal organs </w:t>
      </w:r>
    </w:p>
    <w:p w14:paraId="0C6549C3" w14:textId="77777777" w:rsidR="00796EF1" w:rsidRDefault="008F0151" w:rsidP="00796EF1">
      <w:r w:rsidRPr="008F0151">
        <w:t>• Serious burns (including scalding) Any scalping requiring hospital treatment</w:t>
      </w:r>
    </w:p>
    <w:p w14:paraId="410B6757" w14:textId="37D89F55" w:rsidR="00D528F8" w:rsidRDefault="008F0151" w:rsidP="00796EF1">
      <w:pPr>
        <w:pStyle w:val="ListParagraph"/>
        <w:numPr>
          <w:ilvl w:val="0"/>
          <w:numId w:val="2"/>
        </w:numPr>
        <w:ind w:left="426"/>
      </w:pPr>
      <w:r w:rsidRPr="008F0151">
        <w:t>Any loss of consciousness caused by head injury or asphyxia Full and prompt completion of an Accident / Incident Report Form is essential so that The PCS Group can make any necessary statutory reports to the HSE, monitor and review incidents, and act if necessary.</w:t>
      </w:r>
    </w:p>
    <w:p w14:paraId="04C34385" w14:textId="77777777" w:rsidR="008F0151" w:rsidRDefault="008F0151"/>
    <w:p w14:paraId="77131290" w14:textId="77777777" w:rsidR="00135972" w:rsidRDefault="008F0151">
      <w:r w:rsidRPr="008F0151">
        <w:t xml:space="preserve">Note: The form also satisfies legislation for employees to notify their employer of all accidents at work. Management of </w:t>
      </w:r>
      <w:proofErr w:type="gramStart"/>
      <w:r w:rsidRPr="008F0151">
        <w:t>The</w:t>
      </w:r>
      <w:proofErr w:type="gramEnd"/>
      <w:r w:rsidRPr="008F0151">
        <w:t xml:space="preserve"> </w:t>
      </w:r>
      <w:r w:rsidR="00796EF1">
        <w:t>@theland</w:t>
      </w:r>
      <w:r w:rsidRPr="008F0151">
        <w:t xml:space="preserve"> must make a report to the HSE if an employee, after an injury at work, is absent from work or unfit to carry out their normal duties at work for more than seven consecutive days. In this case, the report must be made, in writing, within 15 days of the accident. Further information may sometimes become available after an Accident/Incident Report Form has been submitted (e.g., an employee may be subsequently unfit for work for more than 7 consecutive days, or a seemingly minor injury may later require medical treatment). In such cases, the employee’s direct manager must be notified as soon as possible so that a report to the HSE can be made if necessary. Copies of reports to the HSE are made available to the recognised trades unions, according to the requirements of the Safety Committees and Safety Representatives Regulations 1977. </w:t>
      </w:r>
      <w:r w:rsidR="00135972">
        <w:t>@theland</w:t>
      </w:r>
      <w:r w:rsidRPr="008F0151">
        <w:t xml:space="preserve"> will routinely investigate all accidents or incidents where reporting to the HSE is required, and will also investigate others, even where minor injuries or less serious incidents are involved. </w:t>
      </w:r>
    </w:p>
    <w:p w14:paraId="177E700D" w14:textId="77777777" w:rsidR="00135972" w:rsidRPr="00135972" w:rsidRDefault="008F0151">
      <w:pPr>
        <w:rPr>
          <w:u w:val="single"/>
        </w:rPr>
      </w:pPr>
      <w:proofErr w:type="gramStart"/>
      <w:r w:rsidRPr="00135972">
        <w:rPr>
          <w:u w:val="single"/>
        </w:rPr>
        <w:t>Non Compliance</w:t>
      </w:r>
      <w:proofErr w:type="gramEnd"/>
    </w:p>
    <w:p w14:paraId="2F4DE575" w14:textId="689D6E66" w:rsidR="008F0151" w:rsidRDefault="008F0151">
      <w:r w:rsidRPr="008F0151">
        <w:lastRenderedPageBreak/>
        <w:t>All employees have a role to play in enforcing the policy and are required to deal with any observed or reported breaches. Should employees feel apprehensive about their own safety regarding addressing any breach, they should seek senior management support.</w:t>
      </w:r>
    </w:p>
    <w:p w14:paraId="027A8168" w14:textId="77777777" w:rsidR="008F0151" w:rsidRDefault="008F0151"/>
    <w:p w14:paraId="0CABF70D" w14:textId="77777777" w:rsidR="00B76D70" w:rsidRDefault="008F0151">
      <w:r w:rsidRPr="008F0151">
        <w:t xml:space="preserve">Failure to comply with this policy may lead to a lack of clarity over job role, learning needs, or expected standards of performance, resulting in reduced effectiveness or efficiency, underperformance, and putting service delivery at risk. Any member of staff refusing to observe the policy will be liable to disciplinary action in accordance with the Company’s Disciplinary Policy up to and including dismissal. Implementation of the Policy </w:t>
      </w:r>
      <w:r w:rsidR="001B5496">
        <w:t>@theland</w:t>
      </w:r>
      <w:r w:rsidRPr="008F0151">
        <w:t xml:space="preserve"> will inform all existing employees about this policy and their role in the implementation of the policy. They will also give all new employees notice of the policy on induction to </w:t>
      </w:r>
      <w:r w:rsidR="00B76D70">
        <w:t>@theland</w:t>
      </w:r>
      <w:r w:rsidRPr="008F0151">
        <w:t xml:space="preserve">. </w:t>
      </w:r>
    </w:p>
    <w:p w14:paraId="4EE0A98D" w14:textId="77777777" w:rsidR="00D01B57" w:rsidRDefault="008F0151">
      <w:r w:rsidRPr="008F0151">
        <w:t xml:space="preserve">This policy will be implemented through the development and maintenance of procedures for appraisals and one-to-one meetings, using template forms, and guidance is given to both managers and employees on the process. The policy will be monitored on an ongoing </w:t>
      </w:r>
      <w:proofErr w:type="gramStart"/>
      <w:r w:rsidRPr="008F0151">
        <w:t>basis,</w:t>
      </w:r>
      <w:proofErr w:type="gramEnd"/>
      <w:r w:rsidRPr="008F0151">
        <w:t xml:space="preserve"> monitoring of the policy is essential to assess how effective the Company has been. </w:t>
      </w:r>
    </w:p>
    <w:p w14:paraId="627A3E01" w14:textId="77777777" w:rsidR="00D01B57" w:rsidRPr="00D01B57" w:rsidRDefault="008F0151">
      <w:pPr>
        <w:rPr>
          <w:u w:val="single"/>
        </w:rPr>
      </w:pPr>
      <w:r w:rsidRPr="00D01B57">
        <w:rPr>
          <w:u w:val="single"/>
        </w:rPr>
        <w:t xml:space="preserve">Responsibilities </w:t>
      </w:r>
    </w:p>
    <w:p w14:paraId="34715504" w14:textId="77777777" w:rsidR="008A5D33" w:rsidRDefault="008F0151">
      <w:r w:rsidRPr="008F0151">
        <w:t xml:space="preserve">It is the responsibility of the </w:t>
      </w:r>
      <w:r w:rsidR="00A42203">
        <w:t>manager</w:t>
      </w:r>
      <w:r w:rsidRPr="008F0151">
        <w:t xml:space="preserve"> to ensure processes are in place to comply with this procedure. </w:t>
      </w:r>
      <w:r w:rsidR="00A42203">
        <w:t>I</w:t>
      </w:r>
      <w:r w:rsidRPr="008F0151">
        <w:t xml:space="preserve">t is the responsibility of the </w:t>
      </w:r>
      <w:r w:rsidR="008A5D33">
        <w:t>staff</w:t>
      </w:r>
      <w:r w:rsidRPr="008F0151">
        <w:t xml:space="preserve"> to ensure all operatives are aware of this policy. </w:t>
      </w:r>
      <w:r w:rsidR="008A5D33">
        <w:t>I</w:t>
      </w:r>
      <w:r w:rsidRPr="008F0151">
        <w:t xml:space="preserve">t is the responsibility of the </w:t>
      </w:r>
      <w:r w:rsidR="008A5D33">
        <w:t xml:space="preserve">managers </w:t>
      </w:r>
      <w:r w:rsidRPr="008F0151">
        <w:t xml:space="preserve">to ensure training is undertaken for all </w:t>
      </w:r>
      <w:r w:rsidR="008A5D33">
        <w:t>staff</w:t>
      </w:r>
      <w:r w:rsidRPr="008F0151">
        <w:t xml:space="preserve"> on a regular basis. </w:t>
      </w:r>
      <w:r w:rsidR="008A5D33">
        <w:t>I</w:t>
      </w:r>
      <w:r w:rsidRPr="008F0151">
        <w:t xml:space="preserve">t is the responsibility of the </w:t>
      </w:r>
      <w:r w:rsidR="008A5D33">
        <w:t>manager</w:t>
      </w:r>
      <w:r w:rsidRPr="008F0151">
        <w:t xml:space="preserve"> to ensure that any incidents of RIDDOR are reported to the</w:t>
      </w:r>
      <w:r w:rsidR="008A5D33">
        <w:t xml:space="preserve"> correct services</w:t>
      </w:r>
      <w:r w:rsidRPr="008F0151">
        <w:t xml:space="preserve">. It Is </w:t>
      </w:r>
      <w:proofErr w:type="gramStart"/>
      <w:r w:rsidRPr="008F0151">
        <w:t>The</w:t>
      </w:r>
      <w:proofErr w:type="gramEnd"/>
      <w:r w:rsidRPr="008F0151">
        <w:t xml:space="preserve"> Responsibility </w:t>
      </w:r>
      <w:proofErr w:type="gramStart"/>
      <w:r w:rsidRPr="008F0151">
        <w:t>Of</w:t>
      </w:r>
      <w:proofErr w:type="gramEnd"/>
      <w:r w:rsidRPr="008F0151">
        <w:t xml:space="preserve"> </w:t>
      </w:r>
      <w:proofErr w:type="gramStart"/>
      <w:r w:rsidRPr="008F0151">
        <w:t>The</w:t>
      </w:r>
      <w:proofErr w:type="gramEnd"/>
      <w:r w:rsidRPr="008F0151">
        <w:t xml:space="preserve"> Compliance Manager</w:t>
      </w:r>
      <w:r w:rsidR="008A5D33">
        <w:t xml:space="preserve"> (Laura)</w:t>
      </w:r>
      <w:r w:rsidRPr="008F0151">
        <w:t xml:space="preserve"> to update this policy regularly. The responsibility for acting on investigating findings and overseeing changes to prevent recurrence rests with </w:t>
      </w:r>
      <w:r w:rsidR="008A5D33">
        <w:t>@theland</w:t>
      </w:r>
      <w:r w:rsidRPr="008F0151">
        <w:t xml:space="preserve">. </w:t>
      </w:r>
    </w:p>
    <w:p w14:paraId="56CBF16B" w14:textId="77777777" w:rsidR="009D3DB2" w:rsidRDefault="009D3DB2" w:rsidP="009D3DB2">
      <w:pPr>
        <w:spacing w:before="100" w:beforeAutospacing="1" w:after="100" w:afterAutospacing="1"/>
        <w:rPr>
          <w:rFonts w:ascii="Arial" w:eastAsia="Times New Roman" w:hAnsi="Arial" w:cs="Arial"/>
        </w:rPr>
      </w:pPr>
      <w:r>
        <w:rPr>
          <w:rFonts w:ascii="Arial" w:eastAsia="Times New Roman" w:hAnsi="Arial" w:cs="Arial"/>
        </w:rPr>
        <w:t>The policy will be reviewed annually</w:t>
      </w:r>
    </w:p>
    <w:p w14:paraId="68F98CDB" w14:textId="63722A0C" w:rsidR="009D3DB2" w:rsidRPr="006C37E7" w:rsidRDefault="009D3DB2" w:rsidP="009D3DB2">
      <w:pPr>
        <w:spacing w:before="100" w:beforeAutospacing="1" w:after="100" w:afterAutospacing="1"/>
        <w:rPr>
          <w:rFonts w:ascii="Times New Roman" w:eastAsia="Times New Roman" w:hAnsi="Times New Roman" w:cs="Times New Roman"/>
        </w:rPr>
      </w:pPr>
      <w:r>
        <w:rPr>
          <w:rFonts w:ascii="Arial" w:eastAsia="Times New Roman" w:hAnsi="Arial" w:cs="Arial"/>
        </w:rPr>
        <w:t>Next date for review A</w:t>
      </w:r>
      <w:r w:rsidR="00281D8D">
        <w:rPr>
          <w:rFonts w:ascii="Arial" w:eastAsia="Times New Roman" w:hAnsi="Arial" w:cs="Arial"/>
        </w:rPr>
        <w:t>ugust</w:t>
      </w:r>
      <w:r>
        <w:rPr>
          <w:rFonts w:ascii="Arial" w:eastAsia="Times New Roman" w:hAnsi="Arial" w:cs="Arial"/>
        </w:rPr>
        <w:t xml:space="preserve"> 2026</w:t>
      </w:r>
    </w:p>
    <w:p w14:paraId="48D92C93" w14:textId="41E70587" w:rsidR="008F0151" w:rsidRDefault="008F0151" w:rsidP="009D3DB2"/>
    <w:sectPr w:rsidR="008F0151" w:rsidSect="00A03DE1">
      <w:headerReference w:type="default" r:id="rId7"/>
      <w:footerReference w:type="default" r:id="rId8"/>
      <w:pgSz w:w="11906" w:h="16838"/>
      <w:pgMar w:top="1440" w:right="1440" w:bottom="1440" w:left="1440" w:header="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5D4E" w14:textId="77777777" w:rsidR="00220FC6" w:rsidRDefault="00220FC6" w:rsidP="00FF3301">
      <w:pPr>
        <w:spacing w:after="0" w:line="240" w:lineRule="auto"/>
      </w:pPr>
      <w:r>
        <w:separator/>
      </w:r>
    </w:p>
  </w:endnote>
  <w:endnote w:type="continuationSeparator" w:id="0">
    <w:p w14:paraId="70DDFA53" w14:textId="77777777" w:rsidR="00220FC6" w:rsidRDefault="00220FC6" w:rsidP="00FF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A7EE" w14:textId="3DAF493F" w:rsidR="00935168" w:rsidRPr="00C374C9" w:rsidRDefault="00935168" w:rsidP="00935168">
    <w:pPr>
      <w:pStyle w:val="Footer"/>
      <w:jc w:val="center"/>
      <w:rPr>
        <w:sz w:val="18"/>
        <w:szCs w:val="18"/>
      </w:rPr>
    </w:pPr>
    <w:r>
      <w:rPr>
        <w:b/>
        <w:bCs/>
        <w:sz w:val="18"/>
        <w:szCs w:val="18"/>
      </w:rPr>
      <w:t>Provision</w:t>
    </w:r>
    <w:r w:rsidRPr="00897180">
      <w:rPr>
        <w:b/>
        <w:bCs/>
        <w:sz w:val="18"/>
        <w:szCs w:val="18"/>
      </w:rPr>
      <w:t xml:space="preserve"> address: </w:t>
    </w:r>
    <w:r>
      <w:rPr>
        <w:sz w:val="18"/>
        <w:szCs w:val="18"/>
      </w:rPr>
      <w:t>Carrolls equestrian, Eaves green lane, Meriden, C</w:t>
    </w:r>
    <w:r w:rsidR="00281D8D">
      <w:rPr>
        <w:sz w:val="18"/>
        <w:szCs w:val="18"/>
      </w:rPr>
      <w:t>V</w:t>
    </w:r>
    <w:r>
      <w:rPr>
        <w:sz w:val="18"/>
        <w:szCs w:val="18"/>
      </w:rPr>
      <w:t xml:space="preserve">7 7JL   |    </w:t>
    </w:r>
    <w:r w:rsidRPr="00897180">
      <w:rPr>
        <w:sz w:val="18"/>
        <w:szCs w:val="18"/>
      </w:rPr>
      <w:br/>
      <w:t xml:space="preserve">w: </w:t>
    </w:r>
    <w:hyperlink r:id="rId1" w:history="1">
      <w:r w:rsidR="00281D8D" w:rsidRPr="004F67D6">
        <w:rPr>
          <w:rStyle w:val="Hyperlink"/>
          <w:sz w:val="18"/>
          <w:szCs w:val="18"/>
        </w:rPr>
        <w:t>www.attheland.co.uk</w:t>
      </w:r>
    </w:hyperlink>
    <w:r w:rsidRPr="00897180">
      <w:rPr>
        <w:sz w:val="18"/>
        <w:szCs w:val="18"/>
      </w:rPr>
      <w:t xml:space="preserve">    |    e: </w:t>
    </w:r>
    <w:r w:rsidR="00281D8D">
      <w:rPr>
        <w:sz w:val="18"/>
        <w:szCs w:val="18"/>
      </w:rPr>
      <w:t>at theland@outlook</w:t>
    </w:r>
    <w:r>
      <w:rPr>
        <w:sz w:val="18"/>
        <w:szCs w:val="18"/>
      </w:rPr>
      <w:t>.com</w:t>
    </w:r>
    <w:r w:rsidRPr="00897180">
      <w:rPr>
        <w:sz w:val="18"/>
        <w:szCs w:val="18"/>
      </w:rPr>
      <w:t xml:space="preserve">    |    p: </w:t>
    </w:r>
    <w:r>
      <w:rPr>
        <w:sz w:val="18"/>
        <w:szCs w:val="18"/>
      </w:rPr>
      <w:t>07969049854</w:t>
    </w:r>
  </w:p>
  <w:p w14:paraId="15E078C7" w14:textId="77777777" w:rsidR="00935168" w:rsidRDefault="0093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44B6" w14:textId="77777777" w:rsidR="00220FC6" w:rsidRDefault="00220FC6" w:rsidP="00FF3301">
      <w:pPr>
        <w:spacing w:after="0" w:line="240" w:lineRule="auto"/>
      </w:pPr>
      <w:r>
        <w:separator/>
      </w:r>
    </w:p>
  </w:footnote>
  <w:footnote w:type="continuationSeparator" w:id="0">
    <w:p w14:paraId="4236B77E" w14:textId="77777777" w:rsidR="00220FC6" w:rsidRDefault="00220FC6" w:rsidP="00FF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E414" w14:textId="457B7915" w:rsidR="00A03DE1" w:rsidRPr="007E2166" w:rsidRDefault="00281D8D" w:rsidP="00A03DE1">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1161311039"/>
        <w:docPartObj>
          <w:docPartGallery w:val="Page Numbers (Margins)"/>
          <w:docPartUnique/>
        </w:docPartObj>
      </w:sdtPr>
      <w:sdtContent>
        <w:r w:rsidRPr="00281D8D">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5E01D12D" wp14:editId="3AFE185F">
                  <wp:simplePos x="0" y="0"/>
                  <wp:positionH relativeFrom="rightMargin">
                    <wp:align>center</wp:align>
                  </wp:positionH>
                  <wp:positionV relativeFrom="margin">
                    <wp:align>bottom</wp:align>
                  </wp:positionV>
                  <wp:extent cx="510540" cy="2183130"/>
                  <wp:effectExtent l="0" t="0" r="3810" b="0"/>
                  <wp:wrapNone/>
                  <wp:docPr id="15175321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2A197" w14:textId="77777777" w:rsidR="00281D8D" w:rsidRDefault="00281D8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E01D12D"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6C2A197" w14:textId="77777777" w:rsidR="00281D8D" w:rsidRDefault="00281D8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03DE1" w:rsidRPr="007E2166">
      <w:rPr>
        <w:rFonts w:ascii="Raleway" w:hAnsi="Raleway"/>
        <w:color w:val="3A7C22" w:themeColor="accent6" w:themeShade="BF"/>
        <w:sz w:val="96"/>
        <w:szCs w:val="96"/>
      </w:rPr>
      <w:t>@</w:t>
    </w:r>
  </w:p>
  <w:p w14:paraId="6046170F" w14:textId="43C8885D" w:rsidR="00FF3301" w:rsidRPr="00A03DE1" w:rsidRDefault="00A03DE1" w:rsidP="00A03DE1">
    <w:pPr>
      <w:pStyle w:val="Header"/>
      <w:jc w:val="right"/>
      <w:rPr>
        <w:rFonts w:ascii="Raleway" w:hAnsi="Raleway"/>
        <w:color w:val="3A7C22" w:themeColor="accent6" w:themeShade="BF"/>
      </w:rPr>
    </w:pPr>
    <w:proofErr w:type="spellStart"/>
    <w:r w:rsidRPr="007E2166">
      <w:rPr>
        <w:rFonts w:ascii="Raleway" w:hAnsi="Raleway"/>
        <w:color w:val="3A7C22" w:themeColor="accent6" w:themeShade="BF"/>
      </w:rPr>
      <w:t>theland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A8F"/>
    <w:multiLevelType w:val="hybridMultilevel"/>
    <w:tmpl w:val="57D6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D0EF2"/>
    <w:multiLevelType w:val="hybridMultilevel"/>
    <w:tmpl w:val="09CA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359197">
    <w:abstractNumId w:val="0"/>
  </w:num>
  <w:num w:numId="2" w16cid:durableId="37593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51"/>
    <w:rsid w:val="00050A1A"/>
    <w:rsid w:val="00135972"/>
    <w:rsid w:val="001B5496"/>
    <w:rsid w:val="00220FC6"/>
    <w:rsid w:val="002278BE"/>
    <w:rsid w:val="00281D8D"/>
    <w:rsid w:val="005B5CEA"/>
    <w:rsid w:val="00796EF1"/>
    <w:rsid w:val="008A5D33"/>
    <w:rsid w:val="008F0151"/>
    <w:rsid w:val="00935168"/>
    <w:rsid w:val="00990906"/>
    <w:rsid w:val="009D3DB2"/>
    <w:rsid w:val="009D46BB"/>
    <w:rsid w:val="00A03DE1"/>
    <w:rsid w:val="00A3422E"/>
    <w:rsid w:val="00A42203"/>
    <w:rsid w:val="00A83F52"/>
    <w:rsid w:val="00B76D70"/>
    <w:rsid w:val="00C035D7"/>
    <w:rsid w:val="00CC60FB"/>
    <w:rsid w:val="00CE74B2"/>
    <w:rsid w:val="00D01B57"/>
    <w:rsid w:val="00D528F8"/>
    <w:rsid w:val="00FF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9D8F8"/>
  <w15:chartTrackingRefBased/>
  <w15:docId w15:val="{7B0268B8-4051-4599-802A-6E0F1FEB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51"/>
    <w:rPr>
      <w:rFonts w:eastAsiaTheme="majorEastAsia" w:cstheme="majorBidi"/>
      <w:color w:val="272727" w:themeColor="text1" w:themeTint="D8"/>
    </w:rPr>
  </w:style>
  <w:style w:type="paragraph" w:styleId="Title">
    <w:name w:val="Title"/>
    <w:basedOn w:val="Normal"/>
    <w:next w:val="Normal"/>
    <w:link w:val="TitleChar"/>
    <w:uiPriority w:val="10"/>
    <w:qFormat/>
    <w:rsid w:val="008F0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51"/>
    <w:pPr>
      <w:spacing w:before="160"/>
      <w:jc w:val="center"/>
    </w:pPr>
    <w:rPr>
      <w:i/>
      <w:iCs/>
      <w:color w:val="404040" w:themeColor="text1" w:themeTint="BF"/>
    </w:rPr>
  </w:style>
  <w:style w:type="character" w:customStyle="1" w:styleId="QuoteChar">
    <w:name w:val="Quote Char"/>
    <w:basedOn w:val="DefaultParagraphFont"/>
    <w:link w:val="Quote"/>
    <w:uiPriority w:val="29"/>
    <w:rsid w:val="008F0151"/>
    <w:rPr>
      <w:i/>
      <w:iCs/>
      <w:color w:val="404040" w:themeColor="text1" w:themeTint="BF"/>
    </w:rPr>
  </w:style>
  <w:style w:type="paragraph" w:styleId="ListParagraph">
    <w:name w:val="List Paragraph"/>
    <w:basedOn w:val="Normal"/>
    <w:uiPriority w:val="34"/>
    <w:qFormat/>
    <w:rsid w:val="008F0151"/>
    <w:pPr>
      <w:ind w:left="720"/>
      <w:contextualSpacing/>
    </w:pPr>
  </w:style>
  <w:style w:type="character" w:styleId="IntenseEmphasis">
    <w:name w:val="Intense Emphasis"/>
    <w:basedOn w:val="DefaultParagraphFont"/>
    <w:uiPriority w:val="21"/>
    <w:qFormat/>
    <w:rsid w:val="008F0151"/>
    <w:rPr>
      <w:i/>
      <w:iCs/>
      <w:color w:val="0F4761" w:themeColor="accent1" w:themeShade="BF"/>
    </w:rPr>
  </w:style>
  <w:style w:type="paragraph" w:styleId="IntenseQuote">
    <w:name w:val="Intense Quote"/>
    <w:basedOn w:val="Normal"/>
    <w:next w:val="Normal"/>
    <w:link w:val="IntenseQuoteChar"/>
    <w:uiPriority w:val="30"/>
    <w:qFormat/>
    <w:rsid w:val="008F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151"/>
    <w:rPr>
      <w:i/>
      <w:iCs/>
      <w:color w:val="0F4761" w:themeColor="accent1" w:themeShade="BF"/>
    </w:rPr>
  </w:style>
  <w:style w:type="character" w:styleId="IntenseReference">
    <w:name w:val="Intense Reference"/>
    <w:basedOn w:val="DefaultParagraphFont"/>
    <w:uiPriority w:val="32"/>
    <w:qFormat/>
    <w:rsid w:val="008F0151"/>
    <w:rPr>
      <w:b/>
      <w:bCs/>
      <w:smallCaps/>
      <w:color w:val="0F4761" w:themeColor="accent1" w:themeShade="BF"/>
      <w:spacing w:val="5"/>
    </w:rPr>
  </w:style>
  <w:style w:type="paragraph" w:styleId="Header">
    <w:name w:val="header"/>
    <w:basedOn w:val="Normal"/>
    <w:link w:val="HeaderChar"/>
    <w:uiPriority w:val="99"/>
    <w:unhideWhenUsed/>
    <w:rsid w:val="00FF3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301"/>
  </w:style>
  <w:style w:type="paragraph" w:styleId="Footer">
    <w:name w:val="footer"/>
    <w:basedOn w:val="Normal"/>
    <w:link w:val="FooterChar"/>
    <w:uiPriority w:val="99"/>
    <w:unhideWhenUsed/>
    <w:rsid w:val="00FF3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301"/>
  </w:style>
  <w:style w:type="paragraph" w:styleId="NormalWeb">
    <w:name w:val="Normal (Web)"/>
    <w:basedOn w:val="Normal"/>
    <w:uiPriority w:val="99"/>
    <w:unhideWhenUsed/>
    <w:rsid w:val="00A83F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35168"/>
    <w:rPr>
      <w:color w:val="467886" w:themeColor="hyperlink"/>
      <w:u w:val="single"/>
    </w:rPr>
  </w:style>
  <w:style w:type="character" w:styleId="UnresolvedMention">
    <w:name w:val="Unresolved Mention"/>
    <w:basedOn w:val="DefaultParagraphFont"/>
    <w:uiPriority w:val="99"/>
    <w:semiHidden/>
    <w:unhideWhenUsed/>
    <w:rsid w:val="00281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2</cp:revision>
  <dcterms:created xsi:type="dcterms:W3CDTF">2025-07-25T07:15:00Z</dcterms:created>
  <dcterms:modified xsi:type="dcterms:W3CDTF">2025-07-25T07:15:00Z</dcterms:modified>
</cp:coreProperties>
</file>